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360" w:lineRule="auto"/>
        <w:jc w:val="center"/>
        <w:rPr>
          <w:rFonts w:hint="eastAsia" w:ascii="宋体" w:hAnsi="宋体" w:eastAsia="宋体"/>
          <w:b/>
          <w:sz w:val="32"/>
          <w:szCs w:val="32"/>
        </w:rPr>
      </w:pPr>
      <w:r>
        <w:rPr>
          <w:rFonts w:hint="eastAsia" w:ascii="宋体" w:hAnsi="宋体" w:eastAsia="宋体"/>
          <w:b/>
          <w:color w:val="FF0000"/>
          <w:sz w:val="32"/>
          <w:szCs w:val="32"/>
        </w:rPr>
        <w:t>协会</w:t>
      </w:r>
      <w:r>
        <w:rPr>
          <w:rFonts w:hint="eastAsia" w:ascii="宋体" w:hAnsi="宋体" w:eastAsia="宋体"/>
          <w:b/>
          <w:sz w:val="32"/>
          <w:szCs w:val="32"/>
        </w:rPr>
        <w:t>标准项目建议书</w:t>
      </w:r>
    </w:p>
    <w:tbl>
      <w:tblPr>
        <w:tblStyle w:val="3"/>
        <w:tblW w:w="97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67"/>
        <w:gridCol w:w="1078"/>
        <w:gridCol w:w="540"/>
        <w:gridCol w:w="540"/>
        <w:gridCol w:w="928"/>
        <w:gridCol w:w="886"/>
        <w:gridCol w:w="957"/>
        <w:gridCol w:w="744"/>
        <w:gridCol w:w="19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5"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ind w:left="-5" w:leftChars="-6" w:hanging="12" w:hangingChars="7"/>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中文</w:t>
            </w:r>
            <w:r>
              <w:rPr>
                <w:rFonts w:ascii="宋体" w:hAnsi="宋体" w:eastAsia="宋体"/>
                <w:sz w:val="18"/>
                <w:szCs w:val="18"/>
              </w:rPr>
              <w:t>)</w:t>
            </w:r>
          </w:p>
        </w:tc>
        <w:tc>
          <w:tcPr>
            <w:tcW w:w="3086" w:type="dxa"/>
            <w:gridSpan w:val="4"/>
            <w:vAlign w:val="center"/>
          </w:tcPr>
          <w:p>
            <w:pPr>
              <w:snapToGrid w:val="0"/>
              <w:spacing w:line="360" w:lineRule="auto"/>
              <w:rPr>
                <w:rFonts w:hint="default" w:ascii="宋体" w:hAnsi="宋体" w:eastAsia="仿宋_GB2312"/>
                <w:sz w:val="18"/>
                <w:szCs w:val="18"/>
                <w:lang w:val="en-US" w:eastAsia="zh-CN"/>
              </w:rPr>
            </w:pPr>
            <w:r>
              <w:rPr>
                <w:rFonts w:hint="eastAsia"/>
                <w:sz w:val="18"/>
                <w:szCs w:val="18"/>
              </w:rPr>
              <w:t>产品碳足迹 产品种类规则</w:t>
            </w:r>
            <w:r>
              <w:rPr>
                <w:rFonts w:hint="eastAsia"/>
                <w:sz w:val="18"/>
                <w:szCs w:val="18"/>
                <w:lang w:val="en-US" w:eastAsia="zh-CN"/>
              </w:rPr>
              <w:t xml:space="preserve"> 木塑制品</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建议项目名称</w:t>
            </w:r>
          </w:p>
          <w:p>
            <w:pPr>
              <w:snapToGrid w:val="0"/>
              <w:spacing w:line="360" w:lineRule="auto"/>
              <w:jc w:val="center"/>
              <w:rPr>
                <w:rFonts w:ascii="宋体" w:hAnsi="宋体" w:eastAsia="宋体"/>
                <w:sz w:val="18"/>
                <w:szCs w:val="18"/>
              </w:rPr>
            </w:pPr>
            <w:r>
              <w:rPr>
                <w:rFonts w:ascii="宋体" w:hAnsi="宋体" w:eastAsia="宋体"/>
                <w:sz w:val="18"/>
                <w:szCs w:val="18"/>
              </w:rPr>
              <w:t>(</w:t>
            </w:r>
            <w:r>
              <w:rPr>
                <w:rFonts w:hint="eastAsia" w:ascii="宋体" w:hAnsi="宋体" w:eastAsia="宋体"/>
                <w:sz w:val="18"/>
                <w:szCs w:val="18"/>
              </w:rPr>
              <w:t>英文</w:t>
            </w:r>
            <w:r>
              <w:rPr>
                <w:rFonts w:ascii="宋体" w:hAnsi="宋体" w:eastAsia="宋体"/>
                <w:sz w:val="18"/>
                <w:szCs w:val="18"/>
              </w:rPr>
              <w:t>)</w:t>
            </w:r>
          </w:p>
        </w:tc>
        <w:tc>
          <w:tcPr>
            <w:tcW w:w="2644" w:type="dxa"/>
            <w:gridSpan w:val="2"/>
            <w:vAlign w:val="center"/>
          </w:tcPr>
          <w:p>
            <w:pPr>
              <w:snapToGrid w:val="0"/>
              <w:spacing w:line="360" w:lineRule="auto"/>
              <w:rPr>
                <w:rFonts w:hint="default" w:ascii="宋体" w:hAnsi="宋体" w:eastAsia="仿宋_GB2312"/>
                <w:sz w:val="18"/>
                <w:szCs w:val="18"/>
                <w:lang w:val="en-US" w:eastAsia="zh-CN"/>
              </w:rPr>
            </w:pPr>
            <w:r>
              <w:rPr>
                <w:sz w:val="18"/>
                <w:szCs w:val="18"/>
              </w:rPr>
              <w:t>Product carbon footprint  product category rule for</w:t>
            </w:r>
            <w:r>
              <w:rPr>
                <w:rFonts w:hint="eastAsia"/>
                <w:sz w:val="18"/>
                <w:szCs w:val="18"/>
                <w:lang w:val="en-US" w:eastAsia="zh-CN"/>
              </w:rPr>
              <w:t xml:space="preserve"> wood plastic products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制定或修订</w:t>
            </w:r>
          </w:p>
        </w:tc>
        <w:tc>
          <w:tcPr>
            <w:tcW w:w="161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lang w:eastAsia="zh-CN"/>
              </w:rPr>
              <w:t>☑</w:t>
            </w:r>
            <w:r>
              <w:rPr>
                <w:rFonts w:hint="eastAsia" w:ascii="宋体" w:hAnsi="宋体" w:eastAsia="宋体"/>
                <w:sz w:val="18"/>
                <w:szCs w:val="18"/>
              </w:rPr>
              <w:t xml:space="preserve"> 制定</w:t>
            </w:r>
          </w:p>
        </w:tc>
        <w:tc>
          <w:tcPr>
            <w:tcW w:w="1468" w:type="dxa"/>
            <w:gridSpan w:val="2"/>
            <w:vAlign w:val="center"/>
          </w:tcPr>
          <w:p>
            <w:pPr>
              <w:snapToGrid w:val="0"/>
              <w:spacing w:line="360" w:lineRule="auto"/>
              <w:rPr>
                <w:rFonts w:ascii="宋体" w:hAnsi="宋体" w:eastAsia="宋体"/>
                <w:sz w:val="18"/>
                <w:szCs w:val="18"/>
              </w:rPr>
            </w:pPr>
            <w:r>
              <w:rPr>
                <w:rFonts w:hint="eastAsia" w:ascii="宋体" w:hAnsi="宋体" w:eastAsia="宋体"/>
                <w:sz w:val="18"/>
                <w:szCs w:val="18"/>
              </w:rPr>
              <w:t>□ 修订</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被修订标准号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采用程度</w:t>
            </w:r>
          </w:p>
        </w:tc>
        <w:tc>
          <w:tcPr>
            <w:tcW w:w="107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IDT</w:t>
            </w:r>
          </w:p>
        </w:tc>
        <w:tc>
          <w:tcPr>
            <w:tcW w:w="1080"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MOD</w:t>
            </w:r>
          </w:p>
        </w:tc>
        <w:tc>
          <w:tcPr>
            <w:tcW w:w="928" w:type="dxa"/>
            <w:vAlign w:val="center"/>
          </w:tcPr>
          <w:p>
            <w:pPr>
              <w:snapToGrid w:val="0"/>
              <w:spacing w:line="360" w:lineRule="auto"/>
              <w:rPr>
                <w:rFonts w:hint="eastAsia" w:ascii="宋体" w:hAnsi="宋体" w:eastAsia="宋体"/>
                <w:sz w:val="18"/>
                <w:szCs w:val="18"/>
              </w:rPr>
            </w:pPr>
            <w:r>
              <w:rPr>
                <w:rFonts w:hint="eastAsia" w:ascii="宋体" w:hAnsi="宋体" w:eastAsia="宋体"/>
                <w:sz w:val="18"/>
                <w:szCs w:val="18"/>
              </w:rPr>
              <w:t>□ NEQ</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采标号</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国际标准名称（中文）</w:t>
            </w:r>
          </w:p>
        </w:tc>
        <w:tc>
          <w:tcPr>
            <w:tcW w:w="3086" w:type="dxa"/>
            <w:gridSpan w:val="4"/>
            <w:vAlign w:val="center"/>
          </w:tcPr>
          <w:p>
            <w:pPr>
              <w:snapToGrid w:val="0"/>
              <w:spacing w:line="360" w:lineRule="auto"/>
              <w:rPr>
                <w:rFonts w:hint="eastAsia" w:ascii="宋体" w:hAnsi="宋体" w:eastAsia="宋体"/>
                <w:sz w:val="18"/>
                <w:szCs w:val="18"/>
              </w:rPr>
            </w:pP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国际标准名称（英文）</w:t>
            </w:r>
          </w:p>
        </w:tc>
        <w:tc>
          <w:tcPr>
            <w:tcW w:w="2644" w:type="dxa"/>
            <w:gridSpan w:val="2"/>
            <w:vAlign w:val="center"/>
          </w:tcPr>
          <w:p>
            <w:pPr>
              <w:snapToGrid w:val="0"/>
              <w:spacing w:line="360" w:lineRule="auto"/>
              <w:rPr>
                <w:rFonts w:hint="eastAsia" w:ascii="宋体" w:hAnsi="宋体" w:eastAsia="宋体"/>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39"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ascii="宋体" w:hAnsi="宋体" w:eastAsia="宋体"/>
                <w:sz w:val="18"/>
                <w:szCs w:val="18"/>
              </w:rPr>
              <w:t>ICS</w:t>
            </w:r>
            <w:r>
              <w:rPr>
                <w:rFonts w:hint="eastAsia" w:ascii="宋体" w:hAnsi="宋体" w:eastAsia="宋体"/>
                <w:sz w:val="18"/>
                <w:szCs w:val="18"/>
              </w:rPr>
              <w:t>分类号</w:t>
            </w:r>
          </w:p>
        </w:tc>
        <w:tc>
          <w:tcPr>
            <w:tcW w:w="3086" w:type="dxa"/>
            <w:gridSpan w:val="4"/>
            <w:vAlign w:val="center"/>
          </w:tcPr>
          <w:p>
            <w:pPr>
              <w:snapToGrid w:val="0"/>
              <w:spacing w:line="360" w:lineRule="auto"/>
              <w:rPr>
                <w:rFonts w:hint="eastAsia" w:ascii="宋体" w:hAnsi="宋体" w:eastAsia="宋体"/>
                <w:sz w:val="18"/>
                <w:szCs w:val="18"/>
              </w:rPr>
            </w:pPr>
            <w:r>
              <w:rPr>
                <w:rFonts w:hint="eastAsia" w:ascii="宋体" w:hAnsi="宋体" w:eastAsia="宋体" w:cs="Times New Roman"/>
                <w:sz w:val="18"/>
                <w:szCs w:val="18"/>
                <w:lang w:val="en-US" w:eastAsia="zh-CN"/>
              </w:rPr>
              <w:t>91.100.99</w:t>
            </w:r>
          </w:p>
        </w:tc>
        <w:tc>
          <w:tcPr>
            <w:tcW w:w="1843" w:type="dxa"/>
            <w:gridSpan w:val="2"/>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中国标准分类号</w:t>
            </w:r>
          </w:p>
        </w:tc>
        <w:tc>
          <w:tcPr>
            <w:tcW w:w="2644" w:type="dxa"/>
            <w:gridSpan w:val="2"/>
            <w:vAlign w:val="center"/>
          </w:tcPr>
          <w:p>
            <w:pPr>
              <w:snapToGrid w:val="0"/>
              <w:spacing w:line="360" w:lineRule="auto"/>
              <w:rPr>
                <w:rFonts w:hint="eastAsia" w:ascii="宋体" w:hAnsi="宋体" w:eastAsia="宋体"/>
                <w:sz w:val="18"/>
                <w:szCs w:val="18"/>
              </w:rPr>
            </w:pPr>
            <w:r>
              <w:rPr>
                <w:rFonts w:hint="eastAsia" w:ascii="宋体" w:hAnsi="宋体" w:eastAsia="宋体" w:cs="Times New Roman"/>
                <w:sz w:val="18"/>
                <w:szCs w:val="18"/>
                <w:lang w:val="en-US" w:eastAsia="zh-CN"/>
              </w:rPr>
              <w:t>Q 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6"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标准主要起草单位</w:t>
            </w:r>
          </w:p>
        </w:tc>
        <w:tc>
          <w:tcPr>
            <w:tcW w:w="3086" w:type="dxa"/>
            <w:gridSpan w:val="4"/>
            <w:vAlign w:val="center"/>
          </w:tcPr>
          <w:p>
            <w:pPr>
              <w:snapToGrid w:val="0"/>
              <w:spacing w:line="360" w:lineRule="auto"/>
              <w:rPr>
                <w:rFonts w:hint="eastAsia" w:ascii="宋体" w:hAnsi="宋体" w:eastAsia="宋体" w:cs="Times New Roman"/>
                <w:sz w:val="18"/>
                <w:szCs w:val="18"/>
                <w:lang w:val="en-US" w:eastAsia="zh-CN"/>
              </w:rPr>
            </w:pPr>
            <w:r>
              <w:rPr>
                <w:rFonts w:hint="eastAsia" w:ascii="宋体" w:hAnsi="宋体" w:eastAsia="宋体"/>
                <w:sz w:val="18"/>
                <w:szCs w:val="18"/>
                <w:lang w:val="en-US" w:eastAsia="zh-CN"/>
              </w:rPr>
              <w:t>河南省产</w:t>
            </w:r>
            <w:r>
              <w:rPr>
                <w:rFonts w:hint="eastAsia" w:ascii="宋体" w:hAnsi="宋体" w:eastAsia="宋体" w:cs="Times New Roman"/>
                <w:sz w:val="18"/>
                <w:szCs w:val="18"/>
                <w:lang w:val="en-US" w:eastAsia="zh-CN"/>
              </w:rPr>
              <w:t>品质量检验技术研究院、</w:t>
            </w:r>
          </w:p>
          <w:p>
            <w:pPr>
              <w:snapToGrid w:val="0"/>
              <w:spacing w:line="360" w:lineRule="auto"/>
              <w:rPr>
                <w:rFonts w:hint="default" w:ascii="宋体" w:hAnsi="宋体" w:eastAsia="宋体"/>
                <w:sz w:val="18"/>
                <w:szCs w:val="18"/>
                <w:lang w:val="en-US" w:eastAsia="zh-CN"/>
              </w:rPr>
            </w:pPr>
            <w:r>
              <w:rPr>
                <w:rFonts w:hint="eastAsia" w:ascii="宋体" w:hAnsi="宋体" w:eastAsia="宋体" w:cs="Times New Roman"/>
                <w:sz w:val="18"/>
                <w:szCs w:val="18"/>
                <w:lang w:val="en-US" w:eastAsia="zh-CN"/>
              </w:rPr>
              <w:t>美新科技股份有限公司、北京国建联信认证中心有限公司</w:t>
            </w:r>
          </w:p>
        </w:tc>
        <w:tc>
          <w:tcPr>
            <w:tcW w:w="1843"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计划起止时间</w:t>
            </w:r>
          </w:p>
        </w:tc>
        <w:tc>
          <w:tcPr>
            <w:tcW w:w="2644" w:type="dxa"/>
            <w:gridSpan w:val="2"/>
            <w:vAlign w:val="center"/>
          </w:tcPr>
          <w:p>
            <w:pPr>
              <w:snapToGrid w:val="0"/>
              <w:spacing w:line="360" w:lineRule="auto"/>
              <w:rPr>
                <w:rFonts w:hint="default" w:ascii="宋体" w:hAnsi="宋体" w:eastAsia="仿宋_GB2312"/>
                <w:sz w:val="18"/>
                <w:szCs w:val="18"/>
                <w:lang w:val="en-US" w:eastAsia="zh-CN"/>
              </w:rPr>
            </w:pPr>
            <w:r>
              <w:rPr>
                <w:rFonts w:hint="eastAsia"/>
                <w:sz w:val="18"/>
              </w:rPr>
              <w:t>2</w:t>
            </w:r>
            <w:r>
              <w:rPr>
                <w:sz w:val="18"/>
              </w:rPr>
              <w:t>024.</w:t>
            </w:r>
            <w:r>
              <w:rPr>
                <w:rFonts w:hint="eastAsia"/>
                <w:sz w:val="18"/>
                <w:lang w:val="en-US" w:eastAsia="zh-CN"/>
              </w:rPr>
              <w:t>5</w:t>
            </w:r>
            <w:r>
              <w:rPr>
                <w:rFonts w:hint="eastAsia"/>
                <w:sz w:val="18"/>
              </w:rPr>
              <w:t>-</w:t>
            </w:r>
            <w:r>
              <w:rPr>
                <w:sz w:val="18"/>
              </w:rPr>
              <w:t>2025.</w:t>
            </w:r>
            <w:r>
              <w:rPr>
                <w:rFonts w:hint="eastAsia"/>
                <w:sz w:val="18"/>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jc w:val="center"/>
        </w:trPr>
        <w:tc>
          <w:tcPr>
            <w:tcW w:w="2167" w:type="dxa"/>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目的</w:t>
            </w:r>
            <w:r>
              <w:rPr>
                <w:rFonts w:ascii="宋体" w:hAnsi="宋体" w:eastAsia="宋体"/>
                <w:sz w:val="18"/>
                <w:szCs w:val="18"/>
              </w:rPr>
              <w:t>﹑</w:t>
            </w:r>
            <w:r>
              <w:rPr>
                <w:rFonts w:hint="eastAsia" w:ascii="宋体" w:hAnsi="宋体" w:eastAsia="宋体"/>
                <w:sz w:val="18"/>
                <w:szCs w:val="18"/>
              </w:rPr>
              <w:t>意义或必</w:t>
            </w:r>
          </w:p>
          <w:p>
            <w:pPr>
              <w:snapToGrid w:val="0"/>
              <w:spacing w:line="360" w:lineRule="auto"/>
              <w:jc w:val="center"/>
              <w:rPr>
                <w:rFonts w:ascii="宋体" w:hAnsi="宋体" w:eastAsia="宋体"/>
                <w:sz w:val="18"/>
                <w:szCs w:val="18"/>
              </w:rPr>
            </w:pPr>
            <w:r>
              <w:rPr>
                <w:rFonts w:hint="eastAsia" w:ascii="宋体" w:hAnsi="宋体" w:eastAsia="宋体"/>
                <w:sz w:val="18"/>
                <w:szCs w:val="18"/>
              </w:rPr>
              <w:t>要性</w:t>
            </w:r>
          </w:p>
        </w:tc>
        <w:tc>
          <w:tcPr>
            <w:tcW w:w="7573" w:type="dxa"/>
            <w:gridSpan w:val="8"/>
            <w:vAlign w:val="center"/>
          </w:tcPr>
          <w:p>
            <w:pPr>
              <w:snapToGrid w:val="0"/>
              <w:spacing w:line="360" w:lineRule="auto"/>
              <w:rPr>
                <w:rFonts w:hint="eastAsia" w:ascii="宋体" w:hAnsi="宋体" w:eastAsia="宋体" w:cs="Times New Roman"/>
                <w:sz w:val="18"/>
                <w:szCs w:val="18"/>
              </w:rPr>
            </w:pPr>
            <w:r>
              <w:rPr>
                <w:rFonts w:hint="eastAsia" w:ascii="Times New Roman" w:hAnsi="Times New Roman" w:eastAsia="宋体" w:cs="Times New Roman"/>
                <w:lang w:val="en-US" w:eastAsia="zh-CN"/>
              </w:rPr>
              <w:t xml:space="preserve">   </w:t>
            </w:r>
            <w:r>
              <w:rPr>
                <w:rFonts w:hint="default" w:ascii="宋体" w:hAnsi="宋体" w:eastAsia="宋体" w:cs="Times New Roman"/>
                <w:sz w:val="18"/>
                <w:szCs w:val="18"/>
                <w:lang w:eastAsia="zh-CN"/>
              </w:rPr>
              <w:t>党中央、国务院于2021年出台《关于完整准确全面贯彻新发展理念做好碳达峰碳中和工作的意见》</w:t>
            </w:r>
            <w:r>
              <w:rPr>
                <w:rFonts w:hint="eastAsia" w:ascii="宋体" w:hAnsi="宋体" w:eastAsia="宋体" w:cs="Times New Roman"/>
                <w:sz w:val="18"/>
                <w:szCs w:val="18"/>
                <w:lang w:val="en-US" w:eastAsia="zh-CN"/>
              </w:rPr>
              <w:t>,</w:t>
            </w:r>
            <w:r>
              <w:rPr>
                <w:rFonts w:hint="default" w:ascii="宋体" w:hAnsi="宋体" w:eastAsia="宋体" w:cs="Times New Roman"/>
                <w:sz w:val="18"/>
                <w:szCs w:val="18"/>
                <w:lang w:eastAsia="zh-CN"/>
              </w:rPr>
              <w:t>《意见》指出，推动绿</w:t>
            </w:r>
            <w:bookmarkStart w:id="0" w:name="_GoBack"/>
            <w:bookmarkEnd w:id="0"/>
            <w:r>
              <w:rPr>
                <w:rFonts w:hint="default" w:ascii="宋体" w:hAnsi="宋体" w:eastAsia="宋体" w:cs="Times New Roman"/>
                <w:sz w:val="18"/>
                <w:szCs w:val="18"/>
                <w:lang w:eastAsia="zh-CN"/>
              </w:rPr>
              <w:t>色低碳转型。加快构建碳排放智能监测和动态核算体系，推动形成集约节约、循环高效、普惠共享的绿色低碳发展新格局，服务保障碳达峰、碳中和目标顺利实现</w:t>
            </w:r>
            <w:r>
              <w:rPr>
                <w:rFonts w:hint="eastAsia" w:ascii="宋体" w:hAnsi="宋体" w:eastAsia="宋体" w:cs="Times New Roman"/>
                <w:sz w:val="18"/>
                <w:szCs w:val="18"/>
                <w:lang w:eastAsia="zh-CN"/>
              </w:rPr>
              <w:t>。</w:t>
            </w:r>
            <w:r>
              <w:rPr>
                <w:rFonts w:hint="eastAsia" w:ascii="宋体" w:hAnsi="宋体" w:eastAsia="宋体" w:cs="Times New Roman"/>
                <w:sz w:val="18"/>
                <w:szCs w:val="18"/>
                <w:lang w:val="en-US" w:eastAsia="zh-CN"/>
              </w:rPr>
              <w:t>2021年</w:t>
            </w:r>
            <w:r>
              <w:rPr>
                <w:rFonts w:hint="default" w:ascii="宋体" w:hAnsi="宋体" w:eastAsia="宋体" w:cs="Times New Roman"/>
                <w:sz w:val="18"/>
                <w:szCs w:val="18"/>
                <w:lang w:eastAsia="zh-CN"/>
              </w:rPr>
              <w:t>国务院印发《2030年前碳达峰行动方案》，</w:t>
            </w:r>
            <w:r>
              <w:rPr>
                <w:rFonts w:hint="eastAsia" w:ascii="宋体" w:hAnsi="宋体" w:eastAsia="宋体" w:cs="Times New Roman"/>
                <w:sz w:val="18"/>
                <w:szCs w:val="18"/>
                <w:lang w:eastAsia="zh-CN"/>
              </w:rPr>
              <w:t>《方案》要求，将碳达峰贯穿于经济社会发展全过程和各方面，重点实施能源绿色低碳转型行动、节能降碳增效行动、工业领域碳达峰行动、城乡建设碳达峰行动、交通运输绿色低碳行动、循环经济助力降碳行动、绿色低碳科技创新行动、碳汇能力巩固提升行动、绿色低碳全民行动、各地区梯次有序碳达峰行动等“碳达峰十大行动”。</w:t>
            </w:r>
            <w:r>
              <w:rPr>
                <w:rFonts w:hint="default" w:ascii="宋体" w:hAnsi="宋体" w:eastAsia="宋体" w:cs="Times New Roman"/>
                <w:sz w:val="18"/>
                <w:szCs w:val="18"/>
              </w:rPr>
              <w:t>党的十八大以来，我国建材行业转型升级成效显著，综合实力和竞争力稳步提升，绿色发展取得新进展，重点行业、骨干企业的单位能耗、污染物排放强度均已达到世界先进水平。建材行业也是工业能源消耗和碳排放的重点领域，是我国碳减排任务最重的行业之一。建材行业实现碳达峰，对工业乃至全社会如期实现碳达峰目标十分重要。</w:t>
            </w:r>
            <w:r>
              <w:rPr>
                <w:rFonts w:hint="eastAsia" w:ascii="宋体" w:hAnsi="宋体" w:eastAsia="宋体" w:cs="Times New Roman"/>
                <w:sz w:val="18"/>
                <w:szCs w:val="18"/>
                <w:lang w:val="en-US" w:eastAsia="zh-CN"/>
              </w:rPr>
              <w:t>2022年11月</w:t>
            </w:r>
            <w:r>
              <w:rPr>
                <w:rFonts w:hint="eastAsia" w:ascii="宋体" w:hAnsi="宋体" w:eastAsia="宋体" w:cs="Times New Roman"/>
                <w:sz w:val="18"/>
                <w:szCs w:val="18"/>
              </w:rPr>
              <w:t>工信部、、国家发改委等四部门近日联合印发《建材行业碳达峰实施方案》提出，“十四五”时期，建材产业结构调整取得明显进展，</w:t>
            </w:r>
            <w:r>
              <w:rPr>
                <w:rFonts w:hint="eastAsia" w:ascii="宋体" w:hAnsi="宋体" w:eastAsia="宋体" w:cs="Times New Roman"/>
                <w:sz w:val="18"/>
                <w:szCs w:val="18"/>
                <w:lang w:eastAsia="zh-CN"/>
              </w:rPr>
              <w:t>建材</w:t>
            </w:r>
            <w:r>
              <w:rPr>
                <w:rFonts w:hint="eastAsia" w:ascii="宋体" w:hAnsi="宋体" w:eastAsia="宋体" w:cs="Times New Roman"/>
                <w:sz w:val="18"/>
                <w:szCs w:val="18"/>
              </w:rPr>
              <w:t>重点产品单位能耗、碳排放强度不断下降，</w:t>
            </w:r>
            <w:r>
              <w:rPr>
                <w:rFonts w:hint="eastAsia" w:ascii="宋体" w:hAnsi="宋体" w:eastAsia="宋体" w:cs="Times New Roman"/>
                <w:sz w:val="18"/>
                <w:szCs w:val="18"/>
                <w:lang w:eastAsia="zh-CN"/>
              </w:rPr>
              <w:t>要求</w:t>
            </w:r>
            <w:r>
              <w:rPr>
                <w:rFonts w:hint="eastAsia" w:ascii="宋体" w:hAnsi="宋体" w:eastAsia="宋体" w:cs="Times New Roman"/>
                <w:sz w:val="18"/>
                <w:szCs w:val="18"/>
              </w:rPr>
              <w:t>“十五五”时期，基本建立绿色低碳循环发展的产业体系。</w:t>
            </w:r>
          </w:p>
          <w:p>
            <w:pPr>
              <w:snapToGrid w:val="0"/>
              <w:spacing w:line="360" w:lineRule="auto"/>
              <w:ind w:firstLine="360" w:firstLineChars="20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目前国家加大力度禁止、限制部分塑料制品的生产、销售和使用，规范塑料废弃物回收利用，明确将做好碳达峰、碳中和工作作为重点任务，木塑复合材料作为一种理想的环保型代木新材料，加工后的成品可以回收再利用，正在逐步替代一些对环境造成污染的产品，减少二氧化碳排放。每生产1吨木塑复合材料，用于替代天然木材可以实现减排二氧化碳7.5吨，相当于少砍伐1.5颗30年树龄的桉树，减少6万个废弃塑料袋的污染，减少114亩农田的地膜残留隐患，间接增加森林碳汇，木塑产业能带来显著的生态环境效益，是一个典型的低碳产业。木塑产业的发展对我国的经济发展、环境保护及资源的合理利用，具有十分重要的现实意义，有利于节约资源、降低能耗和保护环境，可以促进传统产业的升级其产品可以广泛应用于建筑、室内装饰、包装物流、汽车等行业。木塑复合材料作为代木新材料，可有效减少森林砍伐，缓解废弃塑料污染，有利于减少二氧化碳排放，推动绿色低碳循环发展，促进国内生产生活方式绿色转型升级。</w:t>
            </w:r>
          </w:p>
          <w:p>
            <w:pPr>
              <w:snapToGrid w:val="0"/>
              <w:spacing w:line="360" w:lineRule="auto"/>
              <w:ind w:firstLine="360" w:firstLineChars="200"/>
              <w:rPr>
                <w:rFonts w:hint="eastAsia" w:ascii="宋体" w:hAnsi="宋体" w:eastAsia="宋体" w:cs="Times New Roman"/>
                <w:sz w:val="18"/>
                <w:szCs w:val="18"/>
                <w:lang w:val="en-US" w:eastAsia="zh-CN"/>
              </w:rPr>
            </w:pPr>
            <w:r>
              <w:rPr>
                <w:rFonts w:hint="eastAsia" w:ascii="宋体" w:hAnsi="宋体" w:eastAsia="宋体" w:cs="Times New Roman"/>
                <w:sz w:val="18"/>
                <w:szCs w:val="18"/>
                <w:lang w:val="en-US" w:eastAsia="zh-CN"/>
              </w:rPr>
              <w:t>木塑复合材料作为新型的环保材料，生产企业迫切需要准确掌握产品碳排放信息，以应对逐渐严苛的低碳市场要求。而在统一的规则、统一的方法、统一的背景数据质量要求下核算原材料产品碳足迹显得尤为重要，制定木塑相关产品碳足迹核算标准要求具有必要性。</w:t>
            </w:r>
          </w:p>
          <w:p>
            <w:pPr>
              <w:snapToGrid w:val="0"/>
              <w:spacing w:line="360" w:lineRule="auto"/>
              <w:ind w:firstLine="360" w:firstLineChars="200"/>
              <w:rPr>
                <w:rFonts w:hint="eastAsia" w:ascii="宋体" w:hAnsi="宋体" w:eastAsia="宋体"/>
                <w:sz w:val="18"/>
                <w:szCs w:val="18"/>
              </w:rPr>
            </w:pPr>
            <w:r>
              <w:rPr>
                <w:rFonts w:hint="eastAsia" w:ascii="宋体" w:hAnsi="宋体" w:eastAsia="宋体" w:cs="Times New Roman"/>
                <w:sz w:val="18"/>
                <w:szCs w:val="18"/>
                <w:lang w:val="en-US" w:eastAsia="zh-CN"/>
              </w:rPr>
              <w:t>综上所述，制定《产品碳足迹 产品种类规则木塑制品》标准将为企业规范木塑制品的碳足迹核算方法提供详细指导，满足不断国际的低碳采购要求。同时，也将推动木塑制品行业加快绿色低碳发展，践行“宜业尚品 造福人类”建材行业发展目标。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1"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范围和主要</w:t>
            </w:r>
          </w:p>
          <w:p>
            <w:pPr>
              <w:snapToGrid w:val="0"/>
              <w:spacing w:line="360" w:lineRule="auto"/>
              <w:jc w:val="center"/>
              <w:rPr>
                <w:rFonts w:ascii="宋体" w:hAnsi="宋体" w:eastAsia="宋体"/>
                <w:sz w:val="18"/>
                <w:szCs w:val="18"/>
              </w:rPr>
            </w:pPr>
            <w:r>
              <w:rPr>
                <w:rFonts w:hint="eastAsia" w:ascii="宋体" w:hAnsi="宋体" w:eastAsia="宋体"/>
                <w:sz w:val="18"/>
                <w:szCs w:val="18"/>
              </w:rPr>
              <w:t>技术内容</w:t>
            </w:r>
          </w:p>
        </w:tc>
        <w:tc>
          <w:tcPr>
            <w:tcW w:w="7573" w:type="dxa"/>
            <w:gridSpan w:val="8"/>
            <w:vAlign w:val="center"/>
          </w:tcPr>
          <w:p>
            <w:pPr>
              <w:snapToGrid w:val="0"/>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本标准规定了</w:t>
            </w:r>
            <w:r>
              <w:rPr>
                <w:rFonts w:hint="eastAsia" w:asciiTheme="minorEastAsia" w:hAnsiTheme="minorEastAsia" w:eastAsiaTheme="minorEastAsia" w:cstheme="minorEastAsia"/>
                <w:sz w:val="18"/>
                <w:szCs w:val="18"/>
                <w:lang w:val="en-US" w:eastAsia="zh-CN"/>
              </w:rPr>
              <w:t>木塑制品</w:t>
            </w:r>
            <w:r>
              <w:rPr>
                <w:rFonts w:hint="eastAsia" w:asciiTheme="minorEastAsia" w:hAnsiTheme="minorEastAsia" w:eastAsiaTheme="minorEastAsia" w:cstheme="minorEastAsia"/>
                <w:sz w:val="18"/>
                <w:szCs w:val="18"/>
              </w:rPr>
              <w:t>碳足迹评价统一的基本规则和要求，包括产品碳足迹评价的系统边界、功能单位、数据收集方法、质量要求以及碳足迹计算。适用于</w:t>
            </w:r>
            <w:r>
              <w:rPr>
                <w:rFonts w:hint="eastAsia" w:asciiTheme="minorEastAsia" w:hAnsiTheme="minorEastAsia" w:eastAsiaTheme="minorEastAsia" w:cstheme="minorEastAsia"/>
                <w:sz w:val="18"/>
                <w:szCs w:val="18"/>
                <w:lang w:val="en-US" w:eastAsia="zh-CN"/>
              </w:rPr>
              <w:t>木塑制品</w:t>
            </w:r>
            <w:r>
              <w:rPr>
                <w:rFonts w:hint="eastAsia" w:asciiTheme="minorEastAsia" w:hAnsiTheme="minorEastAsia" w:eastAsiaTheme="minorEastAsia" w:cstheme="minorEastAsia"/>
                <w:sz w:val="18"/>
                <w:szCs w:val="18"/>
              </w:rPr>
              <w:t>。</w:t>
            </w:r>
          </w:p>
          <w:p>
            <w:pPr>
              <w:snapToGrid w:val="0"/>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主要技术内容如下：</w:t>
            </w:r>
          </w:p>
          <w:p>
            <w:pPr>
              <w:numPr>
                <w:ilvl w:val="0"/>
                <w:numId w:val="1"/>
              </w:numPr>
              <w:snapToGrid w:val="0"/>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系统边界：包括原材料获取、原燃料运输、产品生产（</w:t>
            </w:r>
            <w:r>
              <w:rPr>
                <w:rFonts w:hint="eastAsia" w:asciiTheme="minorEastAsia" w:hAnsiTheme="minorEastAsia" w:eastAsiaTheme="minorEastAsia" w:cstheme="minorEastAsia"/>
                <w:sz w:val="18"/>
                <w:szCs w:val="18"/>
                <w:lang w:val="en-US" w:eastAsia="zh-CN"/>
              </w:rPr>
              <w:t>干燥</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高混</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挤出</w:t>
            </w:r>
            <w:r>
              <w:rPr>
                <w:rFonts w:hint="eastAsia" w:asciiTheme="minorEastAsia" w:hAnsiTheme="minorEastAsia" w:eastAsiaTheme="minorEastAsia" w:cstheme="minorEastAsia"/>
                <w:sz w:val="18"/>
                <w:szCs w:val="18"/>
              </w:rPr>
              <w:t>、</w:t>
            </w:r>
            <w:r>
              <w:rPr>
                <w:rFonts w:hint="eastAsia" w:asciiTheme="minorEastAsia" w:hAnsiTheme="minorEastAsia" w:eastAsiaTheme="minorEastAsia" w:cstheme="minorEastAsia"/>
                <w:sz w:val="18"/>
                <w:szCs w:val="18"/>
                <w:lang w:val="en-US" w:eastAsia="zh-CN"/>
              </w:rPr>
              <w:t>后处理、包装</w:t>
            </w:r>
            <w:r>
              <w:rPr>
                <w:rFonts w:hint="eastAsia" w:asciiTheme="minorEastAsia" w:hAnsiTheme="minorEastAsia" w:eastAsiaTheme="minorEastAsia" w:cstheme="minorEastAsia"/>
                <w:sz w:val="18"/>
                <w:szCs w:val="18"/>
              </w:rPr>
              <w:t>）、产品出厂运输</w:t>
            </w:r>
            <w:r>
              <w:rPr>
                <w:rFonts w:hint="eastAsia" w:asciiTheme="minorEastAsia" w:hAnsiTheme="minorEastAsia" w:eastAsiaTheme="minorEastAsia" w:cstheme="minorEastAsia"/>
                <w:sz w:val="18"/>
                <w:szCs w:val="18"/>
                <w:lang w:val="en-US" w:eastAsia="zh-CN"/>
              </w:rPr>
              <w:t>和材料回收</w:t>
            </w:r>
            <w:r>
              <w:rPr>
                <w:rFonts w:hint="eastAsia" w:asciiTheme="minorEastAsia" w:hAnsiTheme="minorEastAsia" w:eastAsiaTheme="minorEastAsia" w:cstheme="minorEastAsia"/>
                <w:sz w:val="18"/>
                <w:szCs w:val="18"/>
              </w:rPr>
              <w:t>。</w:t>
            </w:r>
          </w:p>
          <w:p>
            <w:pPr>
              <w:numPr>
                <w:ilvl w:val="0"/>
                <w:numId w:val="1"/>
              </w:numPr>
              <w:snapToGrid w:val="0"/>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功能单位：确定本产品用做基准单位的量化产品系统性能，本产品的功能单位拟定为：生产1</w:t>
            </w:r>
            <w:r>
              <w:rPr>
                <w:rFonts w:hint="eastAsia" w:asciiTheme="minorEastAsia" w:hAnsiTheme="minorEastAsia" w:eastAsiaTheme="minorEastAsia" w:cstheme="minorEastAsia"/>
                <w:sz w:val="18"/>
                <w:szCs w:val="18"/>
                <w:lang w:val="en-US" w:eastAsia="zh-CN"/>
              </w:rPr>
              <w:t>t 木塑制品</w:t>
            </w:r>
            <w:r>
              <w:rPr>
                <w:rFonts w:hint="eastAsia" w:asciiTheme="minorEastAsia" w:hAnsiTheme="minorEastAsia" w:eastAsiaTheme="minorEastAsia" w:cstheme="minorEastAsia"/>
                <w:sz w:val="18"/>
                <w:szCs w:val="18"/>
              </w:rPr>
              <w:t>。</w:t>
            </w:r>
          </w:p>
          <w:p>
            <w:pPr>
              <w:numPr>
                <w:ilvl w:val="0"/>
                <w:numId w:val="1"/>
              </w:numPr>
              <w:snapToGrid w:val="0"/>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生命周期数据收集：</w:t>
            </w:r>
            <w:r>
              <w:rPr>
                <w:rFonts w:hint="eastAsia" w:asciiTheme="minorEastAsia" w:hAnsiTheme="minorEastAsia" w:eastAsiaTheme="minorEastAsia" w:cstheme="minorEastAsia"/>
                <w:sz w:val="18"/>
                <w:szCs w:val="18"/>
                <w:lang w:val="en-US" w:eastAsia="zh-CN"/>
              </w:rPr>
              <w:t>数据收集范围应尽量包含系统边界中的每一个单元过程的初级数据和（或）次级数据，并详细记录数据来源等信息。应尽量使用初级数据，如果初级数据缺乏，可以选择次级数据。次级数据优先选择企业的原材料供应商提供的符合相关生命周期评价标准要求的、经第三方独立验证的上游产品生命周期评价报告中的数据。</w:t>
            </w:r>
          </w:p>
          <w:p>
            <w:pPr>
              <w:numPr>
                <w:ilvl w:val="0"/>
                <w:numId w:val="1"/>
              </w:numPr>
              <w:snapToGrid w:val="0"/>
              <w:spacing w:line="360" w:lineRule="auto"/>
              <w:ind w:firstLine="360" w:firstLineChars="20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确定数据收集方法、分配原则、数据质量要求。原始数据包括生产企业基本信息、产品信息、资源消耗、能源消耗、环境排放等具体活动水平数据，可以使用次级数据的包括输入的资源、能源、运输过程。</w:t>
            </w:r>
          </w:p>
          <w:p>
            <w:pPr>
              <w:numPr>
                <w:ilvl w:val="0"/>
                <w:numId w:val="1"/>
              </w:numPr>
              <w:snapToGrid w:val="0"/>
              <w:spacing w:line="360" w:lineRule="auto"/>
              <w:ind w:firstLine="360"/>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碳足迹评价：依据具体的要求对所采集的数据进行计算，获得所研究产品的碳足迹结果，同时通过附加环境信息对产品系统外产生的温室气体减排效应予以说明。</w:t>
            </w:r>
          </w:p>
          <w:p>
            <w:pPr>
              <w:snapToGrid w:val="0"/>
              <w:spacing w:line="360" w:lineRule="auto"/>
              <w:rPr>
                <w:rFonts w:hint="eastAsia" w:ascii="宋体" w:hAnsi="宋体" w:eastAsia="宋体"/>
                <w:sz w:val="18"/>
                <w:szCs w:val="18"/>
              </w:rPr>
            </w:pPr>
            <w:r>
              <w:rPr>
                <w:rFonts w:hint="eastAsia" w:asciiTheme="minorEastAsia" w:hAnsiTheme="minorEastAsia" w:eastAsiaTheme="minorEastAsia" w:cstheme="minorEastAsia"/>
                <w:sz w:val="18"/>
                <w:szCs w:val="18"/>
              </w:rPr>
              <w:t>碳足迹的报告：提出</w:t>
            </w:r>
            <w:r>
              <w:rPr>
                <w:rFonts w:hint="eastAsia" w:asciiTheme="minorEastAsia" w:hAnsiTheme="minorEastAsia" w:eastAsiaTheme="minorEastAsia" w:cstheme="minorEastAsia"/>
                <w:sz w:val="18"/>
                <w:szCs w:val="18"/>
                <w:lang w:val="en-US" w:eastAsia="zh-CN"/>
              </w:rPr>
              <w:t>木塑制品</w:t>
            </w:r>
            <w:r>
              <w:rPr>
                <w:rFonts w:hint="eastAsia" w:asciiTheme="minorEastAsia" w:hAnsiTheme="minorEastAsia" w:eastAsiaTheme="minorEastAsia" w:cstheme="minorEastAsia"/>
                <w:sz w:val="18"/>
                <w:szCs w:val="18"/>
              </w:rPr>
              <w:t>碳足迹报告内容的要求。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2" w:hRule="atLeast"/>
          <w:jc w:val="center"/>
        </w:trPr>
        <w:tc>
          <w:tcPr>
            <w:tcW w:w="2167" w:type="dxa"/>
            <w:vAlign w:val="center"/>
          </w:tcPr>
          <w:p>
            <w:pPr>
              <w:snapToGrid w:val="0"/>
              <w:spacing w:line="360" w:lineRule="auto"/>
              <w:jc w:val="center"/>
              <w:rPr>
                <w:rFonts w:ascii="宋体" w:hAnsi="宋体" w:eastAsia="宋体"/>
                <w:sz w:val="18"/>
                <w:szCs w:val="18"/>
              </w:rPr>
            </w:pPr>
            <w:r>
              <w:rPr>
                <w:rFonts w:hint="eastAsia" w:ascii="宋体" w:hAnsi="宋体" w:eastAsia="宋体"/>
                <w:sz w:val="18"/>
                <w:szCs w:val="18"/>
              </w:rPr>
              <w:t>国内外情况</w:t>
            </w:r>
          </w:p>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简要说明</w:t>
            </w:r>
          </w:p>
        </w:tc>
        <w:tc>
          <w:tcPr>
            <w:tcW w:w="7573" w:type="dxa"/>
            <w:gridSpan w:val="8"/>
            <w:vAlign w:val="center"/>
          </w:tcPr>
          <w:p>
            <w:pPr>
              <w:numPr>
                <w:ilvl w:val="0"/>
                <w:numId w:val="2"/>
              </w:numPr>
              <w:rPr>
                <w:rFonts w:hint="eastAsia" w:ascii="宋体" w:hAnsi="宋体" w:eastAsia="宋体" w:cs="宋体"/>
                <w:sz w:val="18"/>
              </w:rPr>
            </w:pPr>
            <w:r>
              <w:rPr>
                <w:rFonts w:hint="eastAsia" w:ascii="宋体" w:hAnsi="宋体" w:eastAsia="宋体" w:cs="宋体"/>
                <w:sz w:val="18"/>
                <w:u w:val="single"/>
              </w:rPr>
              <w:t>国内外对该技术研究情况简要说明</w:t>
            </w:r>
            <w:r>
              <w:rPr>
                <w:rFonts w:hint="eastAsia" w:ascii="宋体" w:hAnsi="宋体" w:eastAsia="宋体" w:cs="宋体"/>
                <w:sz w:val="18"/>
              </w:rPr>
              <w:t>：</w:t>
            </w:r>
          </w:p>
          <w:p>
            <w:pPr>
              <w:ind w:firstLine="360" w:firstLineChars="200"/>
              <w:rPr>
                <w:rFonts w:hint="eastAsia" w:ascii="宋体" w:hAnsi="宋体" w:eastAsia="宋体" w:cs="宋体"/>
                <w:sz w:val="18"/>
                <w:lang w:val="en-US" w:eastAsia="zh-CN"/>
              </w:rPr>
            </w:pPr>
            <w:r>
              <w:rPr>
                <w:rFonts w:hint="eastAsia" w:ascii="宋体" w:hAnsi="宋体" w:eastAsia="宋体" w:cs="宋体"/>
                <w:sz w:val="18"/>
              </w:rPr>
              <w:t>我国开展碳足迹研究相对较晚，目前尚未形成国家即行业层面的完善的碳足迹方法标准体系。目前同等转化ISO 14067的国家标准《产品碳足迹 量化要求和指南》（20230777-T-469）制定计划正在征求意见，《</w:t>
            </w:r>
            <w:r>
              <w:rPr>
                <w:rFonts w:hint="eastAsia" w:ascii="宋体" w:hAnsi="宋体" w:eastAsia="宋体" w:cs="宋体"/>
              </w:rPr>
              <w:fldChar w:fldCharType="begin"/>
            </w:r>
            <w:r>
              <w:rPr>
                <w:rFonts w:hint="eastAsia" w:ascii="宋体" w:hAnsi="宋体" w:eastAsia="宋体" w:cs="宋体"/>
              </w:rPr>
              <w:instrText xml:space="preserve"> HYPERLINK "https://std.samr.gov.cn/gb/search/gbDetailed?id=F98A7E21B2948F86E05397BE0A0A2228" \t "https://std.samr.gov.cn/gb/_blank" </w:instrText>
            </w:r>
            <w:r>
              <w:rPr>
                <w:rFonts w:hint="eastAsia" w:ascii="宋体" w:hAnsi="宋体" w:eastAsia="宋体" w:cs="宋体"/>
              </w:rPr>
              <w:fldChar w:fldCharType="separate"/>
            </w:r>
            <w:r>
              <w:rPr>
                <w:rFonts w:hint="eastAsia" w:ascii="宋体" w:hAnsi="宋体" w:eastAsia="宋体" w:cs="宋体"/>
                <w:sz w:val="18"/>
              </w:rPr>
              <w:t>产品碳足迹 产品种类规则 电解铝</w:t>
            </w:r>
            <w:r>
              <w:rPr>
                <w:rFonts w:hint="eastAsia" w:ascii="宋体" w:hAnsi="宋体" w:eastAsia="宋体" w:cs="宋体"/>
                <w:sz w:val="18"/>
              </w:rPr>
              <w:fldChar w:fldCharType="end"/>
            </w:r>
            <w:r>
              <w:rPr>
                <w:rFonts w:hint="eastAsia" w:ascii="宋体" w:hAnsi="宋体" w:eastAsia="宋体" w:cs="宋体"/>
                <w:sz w:val="18"/>
              </w:rPr>
              <w:t>及产品碳足迹》、《 产品种类规则 稀土</w:t>
            </w:r>
            <w:r>
              <w:rPr>
                <w:rFonts w:hint="eastAsia" w:ascii="宋体" w:hAnsi="宋体" w:eastAsia="宋体" w:cs="宋体"/>
                <w:sz w:val="18"/>
              </w:rPr>
              <w:t>永磁材料》两项国家标准已立项；行业标准方面，电子行业、通信行业等已有现行标准发布。包括SJ/T 11717-2018《产品碳足迹 产品种类规则 液晶显示器》、SJ/T 11718-2018《产品碳足迹 产品种类规则 液晶电视机》、SJ/T 11735-2019《产品碳足迹 产品种类规则 便携式计算机》、SJ/T 11736-2019《产品碳足迹 产品种类规则 台式微型计算机》、DB44/T 1874-2016/ T/GDES 2-2-2016《产品碳足迹 产品种类规则 巴氏杀菌乳》、DB31/T 1071-2017《产品碳足迹核算通则》</w:t>
            </w:r>
            <w:r>
              <w:rPr>
                <w:rFonts w:hint="eastAsia" w:ascii="宋体" w:hAnsi="宋体" w:eastAsia="宋体" w:cs="宋体"/>
                <w:sz w:val="18"/>
                <w:lang w:val="en-US" w:eastAsia="zh-CN"/>
              </w:rPr>
              <w:t>等。</w:t>
            </w:r>
          </w:p>
          <w:p>
            <w:pPr>
              <w:ind w:firstLine="360" w:firstLineChars="200"/>
              <w:rPr>
                <w:rFonts w:hint="eastAsia" w:ascii="宋体" w:hAnsi="宋体" w:eastAsia="宋体" w:cs="宋体"/>
                <w:sz w:val="18"/>
                <w:lang w:val="en-US" w:eastAsia="zh-CN"/>
              </w:rPr>
            </w:pPr>
            <w:r>
              <w:rPr>
                <w:rFonts w:hint="eastAsia" w:ascii="宋体" w:hAnsi="宋体" w:eastAsia="宋体" w:cs="宋体"/>
                <w:sz w:val="18"/>
                <w:szCs w:val="18"/>
              </w:rPr>
              <w:t>国际上广泛应用于产品的碳足迹核算标准有：《商品和服务在生命周期内的温室气体排放评价规范》（PAS 2050）是全球第一个产品碳足迹核算标准，该标准于2011年进行更新修订，修订后的标准号为PAS 2050:2011；此外国际标准组织发布的《产品碳足迹 关于量化和通报的要求和指南》（ISO 14067）是目前应用较广泛的碳足迹核算通用方法，提供了产品碳足迹核算最基本的要求和指导，该标准于2018年进行更新修订，修订后的标准为《温室气体 产品碳足迹 量化的要求和指南》（ISO 14067:2018）。</w:t>
            </w:r>
          </w:p>
          <w:p>
            <w:pPr>
              <w:numPr>
                <w:ilvl w:val="0"/>
                <w:numId w:val="2"/>
              </w:numPr>
              <w:rPr>
                <w:rFonts w:hint="eastAsia" w:ascii="宋体" w:hAnsi="宋体" w:eastAsia="宋体" w:cs="宋体"/>
                <w:sz w:val="18"/>
              </w:rPr>
            </w:pPr>
            <w:r>
              <w:rPr>
                <w:rFonts w:hint="eastAsia" w:ascii="宋体" w:hAnsi="宋体" w:eastAsia="宋体" w:cs="宋体"/>
                <w:sz w:val="18"/>
                <w:u w:val="single"/>
              </w:rPr>
              <w:t>项目与国际标准或国外先进标准采用程度的考虑：</w:t>
            </w:r>
          </w:p>
          <w:p>
            <w:pPr>
              <w:snapToGrid w:val="0"/>
              <w:spacing w:line="360" w:lineRule="auto"/>
              <w:ind w:firstLine="360" w:firstLineChars="200"/>
              <w:rPr>
                <w:rFonts w:hint="eastAsia" w:ascii="宋体" w:hAnsi="宋体" w:eastAsia="宋体" w:cs="宋体"/>
                <w:sz w:val="18"/>
                <w:szCs w:val="18"/>
              </w:rPr>
            </w:pPr>
            <w:r>
              <w:rPr>
                <w:rFonts w:hint="eastAsia" w:ascii="宋体" w:hAnsi="宋体" w:eastAsia="宋体" w:cs="宋体"/>
                <w:sz w:val="18"/>
                <w:szCs w:val="18"/>
              </w:rPr>
              <w:t>为适应国内外碳信息共享与互认要求，本文件基于《产品碳足迹 关于量化和通报的要求和指南》（ISO 14067）框架，同时参考国外相关行业已发布碳足迹方法标准。考虑到碳足迹作为生命周期评价（LCA）方法学的一部分，本文件在设定产品系统边界、功能单位、数据收集方法时，将同时参考国外同类产品生命周期评价相关方法要求。</w:t>
            </w:r>
          </w:p>
          <w:p>
            <w:pPr>
              <w:numPr>
                <w:ilvl w:val="0"/>
                <w:numId w:val="2"/>
              </w:numPr>
              <w:rPr>
                <w:rFonts w:hint="eastAsia" w:ascii="宋体" w:hAnsi="宋体" w:eastAsia="宋体" w:cs="宋体"/>
                <w:sz w:val="18"/>
              </w:rPr>
            </w:pPr>
            <w:r>
              <w:rPr>
                <w:rFonts w:hint="eastAsia" w:ascii="宋体" w:hAnsi="宋体" w:eastAsia="宋体" w:cs="宋体"/>
                <w:sz w:val="18"/>
                <w:u w:val="single"/>
              </w:rPr>
              <w:t>与国内相关标准间的关系：</w:t>
            </w:r>
          </w:p>
          <w:p>
            <w:pPr>
              <w:ind w:firstLine="360" w:firstLineChars="200"/>
              <w:rPr>
                <w:rFonts w:hint="eastAsia" w:ascii="宋体" w:hAnsi="宋体" w:eastAsia="宋体" w:cs="宋体"/>
                <w:sz w:val="18"/>
                <w:szCs w:val="18"/>
              </w:rPr>
            </w:pPr>
            <w:r>
              <w:rPr>
                <w:rFonts w:hint="eastAsia" w:ascii="宋体" w:hAnsi="宋体" w:eastAsia="宋体" w:cs="宋体"/>
                <w:sz w:val="18"/>
                <w:szCs w:val="18"/>
              </w:rPr>
              <w:t>本文件框架及计算方法可参考国内出台的产品碳足迹相关的标准，将与建材行业已立项的碳足迹相关标准保持统一格式要求，包括：2021-1776T-JC《产品碳足迹 产品种类规则 平板玻璃》、2021-1777T-JC《产品碳足迹 产品种类规则 金属复合装饰材料》、2021-1778T-JC《产品碳足迹 产品种类规则 人造板和木质地板》、2021-1779T-JC《产品碳足迹 产品种类规则 预拌砂浆》、2021-1780T-JC《产品碳足迹 产品种类规则 岩（矿）棉及其制品》、2021-1781T-JC《产品碳足迹 产品种类规则 墙体材料》、2021-1782T-JC《产品碳足迹 产品种类规则 建筑卫生陶瓷》等。</w:t>
            </w:r>
          </w:p>
          <w:p>
            <w:pPr>
              <w:numPr>
                <w:ilvl w:val="0"/>
                <w:numId w:val="2"/>
              </w:numPr>
              <w:rPr>
                <w:rFonts w:hint="eastAsia" w:ascii="宋体" w:hAnsi="宋体" w:eastAsia="宋体" w:cs="宋体"/>
                <w:sz w:val="18"/>
              </w:rPr>
            </w:pPr>
            <w:r>
              <w:rPr>
                <w:rFonts w:hint="eastAsia" w:ascii="宋体" w:hAnsi="宋体" w:eastAsia="宋体" w:cs="宋体"/>
                <w:sz w:val="18"/>
                <w:u w:val="single"/>
              </w:rPr>
              <w:t>指出是否发现有知识产权的问题</w:t>
            </w:r>
            <w:r>
              <w:rPr>
                <w:rFonts w:hint="eastAsia" w:ascii="宋体" w:hAnsi="宋体" w:eastAsia="宋体" w:cs="宋体"/>
                <w:sz w:val="18"/>
              </w:rPr>
              <w:t>；</w:t>
            </w:r>
          </w:p>
          <w:p>
            <w:pPr>
              <w:snapToGrid w:val="0"/>
              <w:spacing w:line="360" w:lineRule="auto"/>
              <w:rPr>
                <w:rFonts w:hint="eastAsia" w:ascii="宋体" w:hAnsi="宋体" w:eastAsia="宋体" w:cs="宋体"/>
                <w:sz w:val="18"/>
              </w:rPr>
            </w:pPr>
            <w:r>
              <w:rPr>
                <w:rFonts w:hint="eastAsia" w:ascii="宋体" w:hAnsi="宋体" w:eastAsia="宋体" w:cs="宋体"/>
                <w:sz w:val="18"/>
              </w:rPr>
              <w:t>本标准不涉及知识产权的问题。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4" w:hRule="atLeast"/>
          <w:jc w:val="center"/>
        </w:trPr>
        <w:tc>
          <w:tcPr>
            <w:tcW w:w="2167" w:type="dxa"/>
            <w:vAlign w:val="center"/>
          </w:tcPr>
          <w:p>
            <w:pPr>
              <w:pStyle w:val="2"/>
              <w:tabs>
                <w:tab w:val="clear" w:pos="4153"/>
                <w:tab w:val="clear" w:pos="8306"/>
              </w:tabs>
              <w:spacing w:line="360" w:lineRule="auto"/>
              <w:rPr>
                <w:rFonts w:hint="eastAsia" w:ascii="宋体" w:hAnsi="宋体" w:eastAsia="宋体"/>
                <w:szCs w:val="18"/>
              </w:rPr>
            </w:pPr>
            <w:r>
              <w:rPr>
                <w:rFonts w:hint="eastAsia" w:ascii="宋体" w:hAnsi="宋体" w:eastAsia="宋体"/>
                <w:szCs w:val="18"/>
              </w:rPr>
              <w:t>牵头单位</w:t>
            </w:r>
          </w:p>
        </w:tc>
        <w:tc>
          <w:tcPr>
            <w:tcW w:w="3972" w:type="dxa"/>
            <w:gridSpan w:val="5"/>
            <w:vAlign w:val="center"/>
          </w:tcPr>
          <w:p>
            <w:pPr>
              <w:snapToGrid w:val="0"/>
              <w:spacing w:line="360" w:lineRule="auto"/>
              <w:jc w:val="center"/>
              <w:rPr>
                <w:rFonts w:hint="eastAsia" w:ascii="宋体" w:hAnsi="宋体" w:eastAsia="宋体"/>
                <w:sz w:val="18"/>
                <w:szCs w:val="18"/>
              </w:rPr>
            </w:pPr>
          </w:p>
          <w:p>
            <w:pPr>
              <w:snapToGrid w:val="0"/>
              <w:spacing w:line="360" w:lineRule="auto"/>
              <w:jc w:val="center"/>
              <w:rPr>
                <w:rFonts w:ascii="宋体" w:hAnsi="宋体" w:eastAsia="宋体"/>
                <w:sz w:val="18"/>
                <w:szCs w:val="18"/>
              </w:rPr>
            </w:pPr>
            <w:r>
              <w:rPr>
                <w:rFonts w:hint="eastAsia" w:ascii="宋体" w:hAnsi="宋体" w:eastAsia="宋体"/>
                <w:sz w:val="18"/>
                <w:szCs w:val="18"/>
              </w:rPr>
              <w:t>（签字、盖公章）月     日</w:t>
            </w:r>
          </w:p>
        </w:tc>
        <w:tc>
          <w:tcPr>
            <w:tcW w:w="1701" w:type="dxa"/>
            <w:gridSpan w:val="2"/>
            <w:vAlign w:val="center"/>
          </w:tcPr>
          <w:p>
            <w:pPr>
              <w:snapToGrid w:val="0"/>
              <w:spacing w:line="360" w:lineRule="auto"/>
              <w:jc w:val="center"/>
              <w:rPr>
                <w:rFonts w:hint="eastAsia" w:ascii="宋体" w:hAnsi="宋体" w:eastAsia="宋体"/>
                <w:sz w:val="18"/>
                <w:szCs w:val="18"/>
              </w:rPr>
            </w:pPr>
            <w:r>
              <w:rPr>
                <w:rFonts w:hint="eastAsia" w:ascii="宋体" w:hAnsi="宋体" w:eastAsia="宋体"/>
                <w:sz w:val="18"/>
                <w:szCs w:val="18"/>
              </w:rPr>
              <w:t>归口管理部门</w:t>
            </w:r>
          </w:p>
        </w:tc>
        <w:tc>
          <w:tcPr>
            <w:tcW w:w="1900" w:type="dxa"/>
            <w:vAlign w:val="center"/>
          </w:tcPr>
          <w:p>
            <w:pPr>
              <w:snapToGrid w:val="0"/>
              <w:spacing w:line="360" w:lineRule="auto"/>
              <w:rPr>
                <w:rFonts w:hint="eastAsia" w:ascii="宋体" w:hAnsi="宋体" w:eastAsia="宋体"/>
                <w:sz w:val="18"/>
                <w:szCs w:val="18"/>
              </w:rPr>
            </w:pPr>
          </w:p>
          <w:p>
            <w:pPr>
              <w:snapToGrid w:val="0"/>
              <w:rPr>
                <w:rFonts w:hint="eastAsia" w:ascii="宋体" w:hAnsi="宋体" w:eastAsia="宋体"/>
                <w:sz w:val="18"/>
                <w:szCs w:val="18"/>
              </w:rPr>
            </w:pPr>
            <w:r>
              <w:rPr>
                <w:rFonts w:hint="eastAsia" w:ascii="宋体" w:hAnsi="宋体" w:eastAsia="宋体"/>
                <w:sz w:val="18"/>
                <w:szCs w:val="18"/>
              </w:rPr>
              <w:t>（签字、盖公章）</w:t>
            </w:r>
          </w:p>
          <w:p>
            <w:pPr>
              <w:snapToGrid w:val="0"/>
              <w:rPr>
                <w:rFonts w:ascii="宋体" w:hAnsi="宋体" w:eastAsia="宋体"/>
                <w:sz w:val="18"/>
                <w:szCs w:val="18"/>
              </w:rPr>
            </w:pPr>
            <w:r>
              <w:rPr>
                <w:rFonts w:hint="eastAsia" w:ascii="宋体" w:hAnsi="宋体" w:eastAsia="宋体"/>
                <w:sz w:val="18"/>
                <w:szCs w:val="18"/>
              </w:rPr>
              <w:t xml:space="preserve">    月     日</w:t>
            </w:r>
          </w:p>
        </w:tc>
      </w:tr>
    </w:tbl>
    <w:p>
      <w:pPr>
        <w:snapToGrid w:val="0"/>
        <w:spacing w:beforeLines="5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注1</w:t>
      </w:r>
      <w:r>
        <w:rPr>
          <w:rFonts w:ascii="宋体" w:hAnsi="宋体" w:eastAsia="宋体"/>
          <w:sz w:val="18"/>
          <w:szCs w:val="18"/>
        </w:rPr>
        <w:t xml:space="preserve">] </w:t>
      </w:r>
      <w:r>
        <w:rPr>
          <w:rFonts w:hint="eastAsia" w:ascii="宋体" w:hAnsi="宋体" w:eastAsia="宋体"/>
          <w:sz w:val="18"/>
          <w:szCs w:val="18"/>
        </w:rPr>
        <w:t xml:space="preserve"> 填写制定或修订项目中，若选择修订必须填写被修订标准号；</w:t>
      </w:r>
    </w:p>
    <w:p>
      <w:pPr>
        <w:snapToGrid w:val="0"/>
        <w:ind w:firstLine="503" w:firstLineChars="280"/>
        <w:rPr>
          <w:rFonts w:hint="eastAsia" w:ascii="宋体" w:hAnsi="宋体" w:eastAsia="宋体"/>
          <w:sz w:val="18"/>
          <w:szCs w:val="18"/>
        </w:rPr>
      </w:pPr>
      <w:r>
        <w:rPr>
          <w:rFonts w:ascii="宋体" w:hAnsi="宋体" w:eastAsia="宋体"/>
          <w:sz w:val="18"/>
          <w:szCs w:val="18"/>
        </w:rPr>
        <w:t>[</w:t>
      </w:r>
      <w:r>
        <w:rPr>
          <w:rFonts w:hint="eastAsia" w:ascii="宋体" w:hAnsi="宋体" w:eastAsia="宋体"/>
          <w:sz w:val="18"/>
          <w:szCs w:val="18"/>
        </w:rPr>
        <w:t>注2</w:t>
      </w:r>
      <w:r>
        <w:rPr>
          <w:rFonts w:ascii="宋体" w:hAnsi="宋体" w:eastAsia="宋体"/>
          <w:sz w:val="18"/>
          <w:szCs w:val="18"/>
        </w:rPr>
        <w:t>]</w:t>
      </w:r>
      <w:r>
        <w:rPr>
          <w:rFonts w:hint="eastAsia" w:ascii="宋体" w:hAnsi="宋体" w:eastAsia="宋体"/>
          <w:sz w:val="18"/>
          <w:szCs w:val="18"/>
        </w:rPr>
        <w:t xml:space="preserve">  选择采用国际标准，必须填写采标号及采用程度；</w:t>
      </w:r>
    </w:p>
    <w:p>
      <w:pPr>
        <w:snapToGrid w:val="0"/>
        <w:ind w:left="448" w:leftChars="160" w:firstLine="54" w:firstLineChars="30"/>
        <w:rPr>
          <w:rFonts w:hint="eastAsia"/>
          <w:sz w:val="18"/>
          <w:szCs w:val="18"/>
        </w:rPr>
      </w:pPr>
      <w:r>
        <w:rPr>
          <w:rFonts w:ascii="宋体" w:hAnsi="宋体" w:eastAsia="宋体"/>
          <w:sz w:val="18"/>
          <w:szCs w:val="18"/>
        </w:rPr>
        <w:t>[</w:t>
      </w:r>
      <w:r>
        <w:rPr>
          <w:rFonts w:hint="eastAsia" w:ascii="宋体" w:hAnsi="宋体" w:eastAsia="宋体"/>
          <w:sz w:val="18"/>
          <w:szCs w:val="18"/>
        </w:rPr>
        <w:t>注3</w:t>
      </w:r>
      <w:r>
        <w:rPr>
          <w:rFonts w:ascii="宋体" w:hAnsi="宋体" w:eastAsia="宋体"/>
          <w:sz w:val="18"/>
          <w:szCs w:val="18"/>
        </w:rPr>
        <w:t>]</w:t>
      </w:r>
      <w:r>
        <w:rPr>
          <w:rFonts w:hint="eastAsia" w:ascii="宋体" w:hAnsi="宋体" w:eastAsia="宋体"/>
          <w:sz w:val="18"/>
          <w:szCs w:val="18"/>
        </w:rPr>
        <w:t xml:space="preserve">  选择采用快速程序，必须填写快速程序代码。</w:t>
      </w:r>
    </w:p>
    <w:p>
      <w:pPr>
        <w:snapToGrid w:val="0"/>
        <w:rPr>
          <w:rFonts w:hint="eastAsia"/>
          <w:sz w:val="18"/>
          <w:szCs w:val="18"/>
        </w:rPr>
      </w:pPr>
    </w:p>
    <w:p>
      <w:pPr>
        <w:snapToGrid w:val="0"/>
        <w:rPr>
          <w:rFonts w:hint="eastAsia"/>
          <w:sz w:val="18"/>
          <w:szCs w:val="18"/>
        </w:rPr>
      </w:pPr>
    </w:p>
    <w:p>
      <w:pPr>
        <w:snapToGrid w:val="0"/>
        <w:rPr>
          <w:rFonts w:hint="eastAsia"/>
          <w:sz w:val="18"/>
          <w:szCs w:val="18"/>
        </w:rPr>
      </w:pPr>
    </w:p>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华文仿宋">
    <w:panose1 w:val="02010600040101010101"/>
    <w:charset w:val="86"/>
    <w:family w:val="auto"/>
    <w:pitch w:val="default"/>
    <w:sig w:usb0="00000287" w:usb1="080F0000" w:usb2="00000000" w:usb3="00000000" w:csb0="0004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96B917"/>
    <w:multiLevelType w:val="singleLevel"/>
    <w:tmpl w:val="9796B917"/>
    <w:lvl w:ilvl="0" w:tentative="0">
      <w:start w:val="1"/>
      <w:numFmt w:val="decimal"/>
      <w:suff w:val="nothing"/>
      <w:lvlText w:val="%1）"/>
      <w:lvlJc w:val="left"/>
    </w:lvl>
  </w:abstractNum>
  <w:abstractNum w:abstractNumId="1">
    <w:nsid w:val="4A3A63FB"/>
    <w:multiLevelType w:val="multilevel"/>
    <w:tmpl w:val="4A3A63FB"/>
    <w:lvl w:ilvl="0" w:tentative="0">
      <w:start w:val="1"/>
      <w:numFmt w:val="decimal"/>
      <w:lvlText w:val="%1."/>
      <w:lvlJc w:val="left"/>
      <w:pPr>
        <w:tabs>
          <w:tab w:val="left" w:pos="360"/>
        </w:tabs>
        <w:ind w:left="360" w:hanging="360"/>
      </w:pPr>
      <w:rPr>
        <w:u w:val="single"/>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0"/>
  </w:num>
  <w:num w:numId="2">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ZjQ5MGVhY2FhZGU0ZTUxZGY2OWM1MmY1NDI3N2QzZjkifQ=="/>
  </w:docVars>
  <w:rsids>
    <w:rsidRoot w:val="009F1940"/>
    <w:rsid w:val="00070E68"/>
    <w:rsid w:val="00126298"/>
    <w:rsid w:val="0031195C"/>
    <w:rsid w:val="00762C08"/>
    <w:rsid w:val="009F1940"/>
    <w:rsid w:val="00AE6150"/>
    <w:rsid w:val="49BE2532"/>
    <w:rsid w:val="7AE276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240" w:lineRule="auto"/>
      <w:jc w:val="both"/>
    </w:pPr>
    <w:rPr>
      <w:rFonts w:ascii="Times New Roman" w:hAnsi="Times New Roman" w:eastAsia="仿宋_GB2312" w:cs="Times New Roman"/>
      <w:kern w:val="2"/>
      <w:sz w:val="28"/>
      <w:szCs w:val="20"/>
      <w:lang w:val="en-US" w:eastAsia="zh-CN" w:bidi="ar-SA"/>
    </w:rPr>
  </w:style>
  <w:style w:type="character" w:default="1" w:styleId="4">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2">
    <w:name w:val="header"/>
    <w:basedOn w:val="1"/>
    <w:link w:val="5"/>
    <w:autoRedefine/>
    <w:qFormat/>
    <w:uiPriority w:val="0"/>
    <w:pPr>
      <w:pBdr>
        <w:bottom w:val="single" w:color="auto" w:sz="6" w:space="1"/>
      </w:pBdr>
      <w:tabs>
        <w:tab w:val="center" w:pos="4153"/>
        <w:tab w:val="right" w:pos="8306"/>
      </w:tabs>
      <w:snapToGrid w:val="0"/>
      <w:jc w:val="center"/>
    </w:pPr>
    <w:rPr>
      <w:sz w:val="18"/>
    </w:rPr>
  </w:style>
  <w:style w:type="character" w:customStyle="1" w:styleId="5">
    <w:name w:val="页眉 Char"/>
    <w:basedOn w:val="4"/>
    <w:link w:val="2"/>
    <w:qFormat/>
    <w:uiPriority w:val="0"/>
    <w:rPr>
      <w:rFonts w:ascii="Times New Roman" w:hAnsi="Times New Roman" w:eastAsia="仿宋_GB2312" w:cs="Times New Roman"/>
      <w:sz w:val="1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95</Words>
  <Characters>542</Characters>
  <Lines>4</Lines>
  <Paragraphs>1</Paragraphs>
  <TotalTime>1</TotalTime>
  <ScaleCrop>false</ScaleCrop>
  <LinksUpToDate>false</LinksUpToDate>
  <CharactersWithSpaces>636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2018-08-13T03:16:00Z</dcterms:created>
  <dc:creator>zh</dc:creator>
  <cp:lastModifiedBy>Anonymous</cp:lastModifiedBy>
  <dcterms:modified xsi:type="dcterms:W3CDTF">2024-01-23T09:18:52Z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729DB14D08DA46FB89DEF23B01F7E7A7_12</vt:lpwstr>
  </property>
</Properties>
</file>